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8C" w:rsidRPr="00C635A0" w:rsidRDefault="000E3C59" w:rsidP="00C635A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魏玉民</w:t>
      </w:r>
      <w:r w:rsidR="00C635A0">
        <w:rPr>
          <w:rFonts w:ascii="黑体" w:eastAsia="黑体" w:hAnsi="黑体" w:hint="eastAsia"/>
          <w:sz w:val="32"/>
          <w:szCs w:val="32"/>
        </w:rPr>
        <w:t>个人</w:t>
      </w:r>
      <w:r w:rsidR="00C635A0" w:rsidRPr="00C635A0">
        <w:rPr>
          <w:rFonts w:ascii="黑体" w:eastAsia="黑体" w:hAnsi="黑体" w:hint="eastAsia"/>
          <w:sz w:val="32"/>
          <w:szCs w:val="32"/>
        </w:rPr>
        <w:t>简介</w:t>
      </w:r>
    </w:p>
    <w:p w:rsidR="00C635A0" w:rsidRDefault="00C635A0"/>
    <w:p w:rsidR="00C635A0" w:rsidRDefault="00C635A0" w:rsidP="00C635A0">
      <w:r>
        <w:rPr>
          <w:rFonts w:hint="eastAsia"/>
        </w:rPr>
        <w:t xml:space="preserve">                                       </w:t>
      </w:r>
    </w:p>
    <w:p w:rsidR="00C635A0" w:rsidRDefault="000E3C59" w:rsidP="000E3C59">
      <w:pPr>
        <w:jc w:val="center"/>
        <w:rPr>
          <w:sz w:val="24"/>
        </w:rPr>
      </w:pPr>
      <w:r w:rsidRPr="000E3C59">
        <w:rPr>
          <w:noProof/>
          <w:sz w:val="24"/>
        </w:rPr>
        <w:drawing>
          <wp:inline distT="0" distB="0" distL="0" distR="0">
            <wp:extent cx="1209675" cy="1724025"/>
            <wp:effectExtent l="19050" t="0" r="9525" b="0"/>
            <wp:docPr id="3" name="图片 0" descr="魏检-修-蓝底2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魏检-修-蓝底2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464" cy="17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A0" w:rsidRPr="000E3C59" w:rsidRDefault="00C635A0" w:rsidP="000E3C59">
      <w:pPr>
        <w:rPr>
          <w:rFonts w:ascii="仿宋" w:eastAsia="仿宋" w:hAnsi="仿宋"/>
          <w:sz w:val="28"/>
          <w:szCs w:val="28"/>
        </w:rPr>
      </w:pPr>
    </w:p>
    <w:p w:rsidR="00C635A0" w:rsidRPr="000E3C59" w:rsidRDefault="000E3C59" w:rsidP="000E3C5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3C59">
        <w:rPr>
          <w:rFonts w:ascii="仿宋" w:eastAsia="仿宋" w:hAnsi="仿宋" w:hint="eastAsia"/>
          <w:sz w:val="28"/>
          <w:szCs w:val="28"/>
        </w:rPr>
        <w:t>魏玉民，男，淄博市人民检察院党组书记、检察长，二级高级检察官，中国政法大学法学博士。全国检察业务专家、全国模范检察官、全省首届检察业务专家、全省首届十佳基层院检察长。中国法学会刑诉法学研究会理事，山东省法官、检察官遴选委员会委员。《中国疑难刑事名案程序与证据问题研究》副主编，在《检察日报》、《人民检察》等核心报刊上发表学术论文及疑难案例分析文章多篇。兼任中国政法大学硕士研究生导师，山东大学法学院硕士研究生导师。</w:t>
      </w:r>
    </w:p>
    <w:sectPr w:rsidR="00C635A0" w:rsidRPr="000E3C59" w:rsidSect="00C5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9B" w:rsidRDefault="002D249B" w:rsidP="00936E6C">
      <w:r>
        <w:separator/>
      </w:r>
    </w:p>
  </w:endnote>
  <w:endnote w:type="continuationSeparator" w:id="1">
    <w:p w:rsidR="002D249B" w:rsidRDefault="002D249B" w:rsidP="0093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9B" w:rsidRDefault="002D249B" w:rsidP="00936E6C">
      <w:r>
        <w:separator/>
      </w:r>
    </w:p>
  </w:footnote>
  <w:footnote w:type="continuationSeparator" w:id="1">
    <w:p w:rsidR="002D249B" w:rsidRDefault="002D249B" w:rsidP="00936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A0"/>
    <w:rsid w:val="000E3C59"/>
    <w:rsid w:val="002D249B"/>
    <w:rsid w:val="00936E6C"/>
    <w:rsid w:val="00C51D8C"/>
    <w:rsid w:val="00C635A0"/>
    <w:rsid w:val="00CC4E18"/>
    <w:rsid w:val="00DA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C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3C5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6E6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3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36E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2018-07-17T03:49:00Z</dcterms:created>
  <dcterms:modified xsi:type="dcterms:W3CDTF">2018-07-17T03:52:00Z</dcterms:modified>
</cp:coreProperties>
</file>